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DC" w:rsidRDefault="001449DC" w:rsidP="001449DC">
      <w:pPr>
        <w:pStyle w:val="NormalnyWeb"/>
        <w:jc w:val="both"/>
      </w:pPr>
      <w:r>
        <w:t>W zwią</w:t>
      </w:r>
      <w:bookmarkStart w:id="0" w:name="_GoBack"/>
      <w:bookmarkEnd w:id="0"/>
      <w:r>
        <w:t>zku z obowiązkiem stosowania m.in. przez placówki szkolne Rozporządzenia Parlamentu Europejskiego i Rady (UE) nr 1169/2011, które mówi o obowiązku przekazywania konsumentom informacji na temat obecnych w serwowanej żywności składników lub innych substancji mogących powodować alergie nietolerancji, zamieszczamy do ogólnego zapoznania się wyciąg z w/w rozporządzenia, tj.</w:t>
      </w:r>
    </w:p>
    <w:p w:rsidR="001449DC" w:rsidRDefault="001449DC" w:rsidP="001449DC">
      <w:pPr>
        <w:pStyle w:val="NormalnyWeb"/>
      </w:pPr>
      <w:r>
        <w:t> </w:t>
      </w:r>
    </w:p>
    <w:p w:rsidR="001449DC" w:rsidRDefault="001449DC" w:rsidP="001449DC">
      <w:pPr>
        <w:pStyle w:val="NormalnyWeb"/>
        <w:jc w:val="center"/>
      </w:pPr>
      <w:r>
        <w:rPr>
          <w:rStyle w:val="Pogrubienie"/>
          <w:u w:val="single"/>
        </w:rPr>
        <w:t>Wykaz substancji i produktów powodujących alergie lub reakcje nietolerancji</w:t>
      </w:r>
    </w:p>
    <w:p w:rsidR="001449DC" w:rsidRDefault="001449DC" w:rsidP="001449DC">
      <w:pPr>
        <w:pStyle w:val="NormalnyWeb"/>
        <w:jc w:val="center"/>
      </w:pPr>
      <w:r>
        <w:t> </w:t>
      </w:r>
    </w:p>
    <w:p w:rsidR="001449DC" w:rsidRDefault="001449DC" w:rsidP="001449DC">
      <w:pPr>
        <w:pStyle w:val="NormalnyWeb"/>
        <w:jc w:val="both"/>
      </w:pPr>
      <w:r>
        <w:rPr>
          <w:rStyle w:val="Pogrubienie"/>
        </w:rPr>
        <w:t>1. </w:t>
      </w:r>
      <w:r>
        <w:t>Zboża zawierające</w:t>
      </w:r>
      <w:r>
        <w:rPr>
          <w:rStyle w:val="Pogrubienie"/>
        </w:rPr>
        <w:t> gluten,</w:t>
      </w:r>
      <w:r>
        <w:t xml:space="preserve"> tj. pszenica, żyto, jęczmień, owies, orkisz, </w:t>
      </w:r>
      <w:proofErr w:type="spellStart"/>
      <w:r>
        <w:t>kamut</w:t>
      </w:r>
      <w:proofErr w:type="spellEnd"/>
      <w:r>
        <w:t xml:space="preserve"> lub ich odmiany hybrydowe, a także produkty pochodne;</w:t>
      </w:r>
    </w:p>
    <w:p w:rsidR="001449DC" w:rsidRDefault="001449DC" w:rsidP="001449DC">
      <w:pPr>
        <w:pStyle w:val="NormalnyWeb"/>
        <w:jc w:val="both"/>
      </w:pPr>
      <w:r>
        <w:rPr>
          <w:rStyle w:val="Pogrubienie"/>
        </w:rPr>
        <w:t>2. Skorupiaki</w:t>
      </w:r>
      <w:r>
        <w:t> i produkty pochodne;</w:t>
      </w:r>
    </w:p>
    <w:p w:rsidR="001449DC" w:rsidRDefault="001449DC" w:rsidP="001449DC">
      <w:pPr>
        <w:pStyle w:val="NormalnyWeb"/>
        <w:jc w:val="both"/>
      </w:pPr>
      <w:r>
        <w:rPr>
          <w:rStyle w:val="Pogrubienie"/>
        </w:rPr>
        <w:t>3. Jaja</w:t>
      </w:r>
      <w:r>
        <w:t> i produkty pochodne;</w:t>
      </w:r>
    </w:p>
    <w:p w:rsidR="001449DC" w:rsidRDefault="001449DC" w:rsidP="001449DC">
      <w:pPr>
        <w:pStyle w:val="NormalnyWeb"/>
        <w:jc w:val="both"/>
      </w:pPr>
      <w:r>
        <w:rPr>
          <w:rStyle w:val="Pogrubienie"/>
        </w:rPr>
        <w:t>4. Ryby</w:t>
      </w:r>
      <w:r>
        <w:t> i produkty pochodne;</w:t>
      </w:r>
    </w:p>
    <w:p w:rsidR="001449DC" w:rsidRDefault="001449DC" w:rsidP="001449DC">
      <w:pPr>
        <w:pStyle w:val="NormalnyWeb"/>
        <w:jc w:val="both"/>
      </w:pPr>
      <w:r>
        <w:rPr>
          <w:rStyle w:val="Pogrubienie"/>
        </w:rPr>
        <w:t>5. Orzeszki ziemne</w:t>
      </w:r>
      <w:r>
        <w:t> (arachidowe) i produkty pochodne;</w:t>
      </w:r>
    </w:p>
    <w:p w:rsidR="001449DC" w:rsidRDefault="001449DC" w:rsidP="001449DC">
      <w:pPr>
        <w:pStyle w:val="NormalnyWeb"/>
        <w:jc w:val="both"/>
      </w:pPr>
      <w:r>
        <w:rPr>
          <w:rStyle w:val="Pogrubienie"/>
        </w:rPr>
        <w:t>6. Soja</w:t>
      </w:r>
      <w:r>
        <w:t> i produkty pochodne;</w:t>
      </w:r>
    </w:p>
    <w:p w:rsidR="001449DC" w:rsidRDefault="001449DC" w:rsidP="001449DC">
      <w:pPr>
        <w:pStyle w:val="NormalnyWeb"/>
        <w:jc w:val="both"/>
      </w:pPr>
      <w:r>
        <w:rPr>
          <w:rStyle w:val="Pogrubienie"/>
        </w:rPr>
        <w:t>7</w:t>
      </w:r>
      <w:r>
        <w:t>. </w:t>
      </w:r>
      <w:r>
        <w:rPr>
          <w:rStyle w:val="Pogrubienie"/>
        </w:rPr>
        <w:t>Mleko</w:t>
      </w:r>
      <w:r>
        <w:t> i produkty pochodne, (łącznie z laktozą );</w:t>
      </w:r>
    </w:p>
    <w:p w:rsidR="001449DC" w:rsidRDefault="001449DC" w:rsidP="001449DC">
      <w:pPr>
        <w:pStyle w:val="NormalnyWeb"/>
        <w:jc w:val="both"/>
      </w:pPr>
      <w:r>
        <w:rPr>
          <w:rStyle w:val="Pogrubienie"/>
        </w:rPr>
        <w:t>8. Orzechy</w:t>
      </w:r>
      <w:r>
        <w:t xml:space="preserve">, tj. migdały, orzechy laskowe, orzechy włoskie, orzechy nerkowca, orzeszki </w:t>
      </w:r>
      <w:proofErr w:type="spellStart"/>
      <w:r>
        <w:t>pekan</w:t>
      </w:r>
      <w:proofErr w:type="spellEnd"/>
      <w:r>
        <w:t>, orzechy brazylijskie, pistacje/orzechy pistacjowe, orzechy makadamia, a także produkty pochodne;</w:t>
      </w:r>
    </w:p>
    <w:p w:rsidR="001449DC" w:rsidRDefault="001449DC" w:rsidP="001449DC">
      <w:pPr>
        <w:pStyle w:val="NormalnyWeb"/>
        <w:jc w:val="both"/>
      </w:pPr>
      <w:r>
        <w:rPr>
          <w:rStyle w:val="Pogrubienie"/>
        </w:rPr>
        <w:t>9. Seler</w:t>
      </w:r>
      <w:r>
        <w:t> i produkty pochodne;</w:t>
      </w:r>
    </w:p>
    <w:p w:rsidR="001449DC" w:rsidRDefault="001449DC" w:rsidP="001449DC">
      <w:pPr>
        <w:pStyle w:val="NormalnyWeb"/>
        <w:jc w:val="both"/>
      </w:pPr>
      <w:r>
        <w:rPr>
          <w:rStyle w:val="Pogrubienie"/>
        </w:rPr>
        <w:t>10. Gorczyca </w:t>
      </w:r>
      <w:r>
        <w:t>i produkty pochodne;</w:t>
      </w:r>
    </w:p>
    <w:p w:rsidR="001449DC" w:rsidRDefault="001449DC" w:rsidP="001449DC">
      <w:pPr>
        <w:pStyle w:val="NormalnyWeb"/>
        <w:jc w:val="both"/>
      </w:pPr>
      <w:r>
        <w:rPr>
          <w:rStyle w:val="Pogrubienie"/>
        </w:rPr>
        <w:t>11. </w:t>
      </w:r>
      <w:r>
        <w:t>Nasiona </w:t>
      </w:r>
      <w:r>
        <w:rPr>
          <w:rStyle w:val="Pogrubienie"/>
        </w:rPr>
        <w:t>sezamu</w:t>
      </w:r>
      <w:r>
        <w:t> i produkty pochodne;</w:t>
      </w:r>
    </w:p>
    <w:p w:rsidR="001449DC" w:rsidRDefault="001449DC" w:rsidP="001449DC">
      <w:pPr>
        <w:pStyle w:val="NormalnyWeb"/>
        <w:jc w:val="both"/>
      </w:pPr>
      <w:r>
        <w:rPr>
          <w:rStyle w:val="Pogrubienie"/>
        </w:rPr>
        <w:t>12. Dwutlenek siarki i siarczyny </w:t>
      </w:r>
      <w:r>
        <w:t>w stężeniach powyżej 10 mg/kg lub 10 mg/litr w przeliczeniu na całkowitą zawartość SO 2 dla produktów w postaci gotowej bezpośrednio do spożycia;</w:t>
      </w:r>
    </w:p>
    <w:p w:rsidR="001449DC" w:rsidRDefault="001449DC" w:rsidP="001449DC">
      <w:pPr>
        <w:pStyle w:val="NormalnyWeb"/>
        <w:jc w:val="both"/>
      </w:pPr>
      <w:r>
        <w:rPr>
          <w:rStyle w:val="Pogrubienie"/>
        </w:rPr>
        <w:t>13. Łubin </w:t>
      </w:r>
      <w:r>
        <w:t>i produkty pochodne; </w:t>
      </w:r>
    </w:p>
    <w:p w:rsidR="001449DC" w:rsidRDefault="001449DC" w:rsidP="001449DC">
      <w:pPr>
        <w:pStyle w:val="NormalnyWeb"/>
        <w:jc w:val="both"/>
      </w:pPr>
      <w:r>
        <w:rPr>
          <w:rStyle w:val="Pogrubienie"/>
        </w:rPr>
        <w:t>14.</w:t>
      </w:r>
      <w:r>
        <w:t> </w:t>
      </w:r>
      <w:r>
        <w:rPr>
          <w:rStyle w:val="Pogrubienie"/>
        </w:rPr>
        <w:t>Mięczaki</w:t>
      </w:r>
      <w:r>
        <w:t> i produkty pochodne.</w:t>
      </w:r>
    </w:p>
    <w:p w:rsidR="00990F53" w:rsidRDefault="00990F53"/>
    <w:sectPr w:rsidR="00990F53" w:rsidSect="0099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49DC"/>
    <w:rsid w:val="000E2691"/>
    <w:rsid w:val="001449DC"/>
    <w:rsid w:val="005B636E"/>
    <w:rsid w:val="00685E23"/>
    <w:rsid w:val="00990F53"/>
    <w:rsid w:val="00B63D3E"/>
    <w:rsid w:val="00E9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3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B636E"/>
    <w:pPr>
      <w:keepNext/>
      <w:jc w:val="center"/>
      <w:outlineLvl w:val="0"/>
    </w:pPr>
    <w:rPr>
      <w:b/>
      <w:bCs/>
      <w:color w:val="003366"/>
      <w:sz w:val="36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636E"/>
    <w:rPr>
      <w:b/>
      <w:bCs/>
      <w:color w:val="003366"/>
      <w:sz w:val="36"/>
      <w:szCs w:val="32"/>
      <w:u w:val="single"/>
    </w:rPr>
  </w:style>
  <w:style w:type="paragraph" w:styleId="Podtytu">
    <w:name w:val="Subtitle"/>
    <w:basedOn w:val="Normalny"/>
    <w:next w:val="Normalny"/>
    <w:link w:val="PodtytuZnak"/>
    <w:qFormat/>
    <w:rsid w:val="005B636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5B636E"/>
    <w:rPr>
      <w:rFonts w:ascii="Cambria" w:eastAsia="Times New Roman" w:hAnsi="Cambria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B636E"/>
    <w:rPr>
      <w:b/>
      <w:bCs/>
    </w:rPr>
  </w:style>
  <w:style w:type="character" w:styleId="Uwydatnienie">
    <w:name w:val="Emphasis"/>
    <w:basedOn w:val="Domylnaczcionkaakapitu"/>
    <w:qFormat/>
    <w:rsid w:val="005B636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449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Dorota Sosnowska</cp:lastModifiedBy>
  <cp:revision>2</cp:revision>
  <cp:lastPrinted>2016-09-22T12:26:00Z</cp:lastPrinted>
  <dcterms:created xsi:type="dcterms:W3CDTF">2016-09-22T12:25:00Z</dcterms:created>
  <dcterms:modified xsi:type="dcterms:W3CDTF">2016-09-28T14:58:00Z</dcterms:modified>
</cp:coreProperties>
</file>